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BAB08" w14:textId="77777777" w:rsidR="00D21FB5" w:rsidRPr="002A66EB" w:rsidRDefault="00D21FB5" w:rsidP="002A66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3D41ED" w14:textId="77777777" w:rsidR="00D21FB5" w:rsidRPr="00D21FB5" w:rsidRDefault="00D21FB5" w:rsidP="00D650F3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CALENDARUL</w:t>
      </w:r>
    </w:p>
    <w:p w14:paraId="2E16E9DB" w14:textId="77777777" w:rsidR="00D21FB5" w:rsidRDefault="00D21FB5" w:rsidP="00D650F3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1A171C"/>
          <w:sz w:val="24"/>
          <w:szCs w:val="24"/>
          <w:bdr w:val="none" w:sz="0" w:space="0" w:color="auto" w:frame="1"/>
        </w:rPr>
      </w:pPr>
      <w:proofErr w:type="spellStart"/>
      <w:proofErr w:type="gram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înscrierii</w:t>
      </w:r>
      <w:proofErr w:type="spellEnd"/>
      <w:proofErr w:type="gram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copiilor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antepreşcolari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şi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preşcolari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în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anul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şcolar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2026-2027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în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unităţi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învăţământ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preuniversitar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personalitate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juridică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grupe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nivel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preşcolar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şi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/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sau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antepreşcolari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și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în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servicii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educaţie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timpurie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complementare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 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aprobat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prin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 </w:t>
      </w:r>
      <w:r w:rsidRPr="002A66EB">
        <w:rPr>
          <w:rFonts w:ascii="Times New Roman" w:eastAsia="Times New Roman" w:hAnsi="Times New Roman" w:cs="Times New Roman"/>
          <w:b/>
          <w:i/>
          <w:iCs/>
          <w:color w:val="1A171C"/>
          <w:sz w:val="24"/>
          <w:szCs w:val="24"/>
          <w:bdr w:val="none" w:sz="0" w:space="0" w:color="auto" w:frame="1"/>
        </w:rPr>
        <w:t xml:space="preserve">ORDINUL M.E.C. nr. 3707 din 21 </w:t>
      </w:r>
      <w:proofErr w:type="spellStart"/>
      <w:r w:rsidRPr="002A66EB">
        <w:rPr>
          <w:rFonts w:ascii="Times New Roman" w:eastAsia="Times New Roman" w:hAnsi="Times New Roman" w:cs="Times New Roman"/>
          <w:b/>
          <w:i/>
          <w:iCs/>
          <w:color w:val="1A171C"/>
          <w:sz w:val="24"/>
          <w:szCs w:val="24"/>
          <w:bdr w:val="none" w:sz="0" w:space="0" w:color="auto" w:frame="1"/>
        </w:rPr>
        <w:t>aprilie</w:t>
      </w:r>
      <w:proofErr w:type="spellEnd"/>
      <w:r w:rsidRPr="002A66EB">
        <w:rPr>
          <w:rFonts w:ascii="Times New Roman" w:eastAsia="Times New Roman" w:hAnsi="Times New Roman" w:cs="Times New Roman"/>
          <w:b/>
          <w:i/>
          <w:iCs/>
          <w:color w:val="1A171C"/>
          <w:sz w:val="24"/>
          <w:szCs w:val="24"/>
          <w:bdr w:val="none" w:sz="0" w:space="0" w:color="auto" w:frame="1"/>
        </w:rPr>
        <w:t xml:space="preserve"> 2026</w:t>
      </w:r>
    </w:p>
    <w:p w14:paraId="40163859" w14:textId="77777777" w:rsidR="002A66EB" w:rsidRPr="00D21FB5" w:rsidRDefault="002A66EB" w:rsidP="002A66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</w:pPr>
    </w:p>
    <w:p w14:paraId="2F7C743E" w14:textId="77777777" w:rsidR="00D21FB5" w:rsidRPr="002A66EB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</w:pPr>
    </w:p>
    <w:p w14:paraId="5484340E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ETAPA DE REÎNSCRIERI</w:t>
      </w:r>
    </w:p>
    <w:p w14:paraId="6ECDEC80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 </w:t>
      </w:r>
    </w:p>
    <w:p w14:paraId="6CF6EE85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18 -22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mai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2026</w:t>
      </w:r>
    </w:p>
    <w:p w14:paraId="5829669E" w14:textId="77777777" w:rsidR="00D21FB5" w:rsidRPr="00D21FB5" w:rsidRDefault="00D21FB5" w:rsidP="002A66EB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Sunt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reînscrişi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copiii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care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au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frecventat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unitatea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învăţământ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anul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şcolar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curent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care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urmează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să</w:t>
      </w:r>
      <w:proofErr w:type="spellEnd"/>
      <w:proofErr w:type="gram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o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frecventeze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anul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şcolar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următor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urmare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exprimării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acestei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opţiuni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către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părinţii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/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reprezentanţii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legali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acestora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printr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-o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cerere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scrisă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14:paraId="47529071" w14:textId="77777777" w:rsidR="00D21FB5" w:rsidRPr="00D21FB5" w:rsidRDefault="00D21FB5" w:rsidP="002A66EB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Pentru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unitățile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învățământ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care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au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și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grupe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nivel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antepreșcolar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baza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continuității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la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solicitarea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părinților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copiii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3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ani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grupa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mare de la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creşă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pot fi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reînscrişi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grupa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mică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la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grădiniţă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limita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locurilor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disponibile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pentru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acest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nivel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vârstă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14:paraId="457C1F1C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22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mai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2026</w:t>
      </w:r>
    </w:p>
    <w:p w14:paraId="45C249C4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proofErr w:type="gram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Afişarea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rezultatului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şi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numărului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locuri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libere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după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finalizarea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etapei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reînscrieri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.</w:t>
      </w:r>
      <w:proofErr w:type="gramEnd"/>
    </w:p>
    <w:p w14:paraId="4994C0D0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 </w:t>
      </w:r>
    </w:p>
    <w:p w14:paraId="6AB5D8E1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ETAPE DE ÎNSCRIERI</w:t>
      </w:r>
    </w:p>
    <w:p w14:paraId="5D4E3077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 </w:t>
      </w:r>
    </w:p>
    <w:p w14:paraId="1BA62152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Etapa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I din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cadrul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procesului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înscrieri</w:t>
      </w:r>
      <w:proofErr w:type="spellEnd"/>
    </w:p>
    <w:p w14:paraId="4F590355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25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mai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– 18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iunie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2026</w:t>
      </w:r>
    </w:p>
    <w:p w14:paraId="24E1A4BA" w14:textId="77777777" w:rsidR="00D21FB5" w:rsidRPr="00D21FB5" w:rsidRDefault="00D21FB5" w:rsidP="002A66EB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Copiii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sunt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înscrişi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această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etapă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baza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dosarelor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depuse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la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unităţile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învăţământ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către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părinţii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/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reprezentanţii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legali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acestora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trei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opţiuni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exprimate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limita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locurilor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planul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şcolarizare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aprobat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după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încheierea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etapei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reînscrieri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14:paraId="7F794D08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 </w:t>
      </w:r>
    </w:p>
    <w:p w14:paraId="6B8D2776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25-29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mai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2026 – COLECTAREA CERERILOR DE ÎNSCRIERE</w:t>
      </w:r>
    </w:p>
    <w:p w14:paraId="212FC7F0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2-18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iunie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2026 – PROCESAREA CERERILOR DE ÎNSCRIERE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către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comisia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înscrieri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din 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unitatea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învățământ</w:t>
      </w:r>
      <w:proofErr w:type="spellEnd"/>
    </w:p>
    <w:p w14:paraId="41161595" w14:textId="77777777" w:rsidR="00D21FB5" w:rsidRPr="00D21FB5" w:rsidRDefault="00D21FB5" w:rsidP="002A66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02 – 08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iunie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2026 –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procesarea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cererilor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faza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I – </w:t>
      </w: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prima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opţiune</w:t>
      </w:r>
      <w:proofErr w:type="spellEnd"/>
    </w:p>
    <w:p w14:paraId="0746D557" w14:textId="77777777" w:rsidR="00D21FB5" w:rsidRPr="00D21FB5" w:rsidRDefault="00D21FB5" w:rsidP="002A66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09 – 12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iunie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2026 –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procesarea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cererilor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faza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 II-a – </w:t>
      </w: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doua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opţiune</w:t>
      </w:r>
      <w:proofErr w:type="spellEnd"/>
    </w:p>
    <w:p w14:paraId="437326C6" w14:textId="77777777" w:rsidR="00D21FB5" w:rsidRPr="00D21FB5" w:rsidRDefault="00D21FB5" w:rsidP="002A66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15 – 17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iunie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2026 –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procesarea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cererilor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faza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 III-a – </w:t>
      </w: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treia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opţiune</w:t>
      </w:r>
      <w:proofErr w:type="spellEnd"/>
    </w:p>
    <w:p w14:paraId="33A34E4D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 </w:t>
      </w:r>
    </w:p>
    <w:p w14:paraId="1AFFA7AE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lastRenderedPageBreak/>
        <w:t xml:space="preserve">18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iunie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2026</w:t>
      </w:r>
      <w:r w:rsidR="002A66E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gramStart"/>
      <w:r w:rsidR="002A66E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  </w:t>
      </w:r>
      <w:proofErr w:type="spellStart"/>
      <w:r w:rsid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a</w:t>
      </w: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fişarea</w:t>
      </w:r>
      <w:proofErr w:type="spellEnd"/>
      <w:proofErr w:type="gram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rezultatului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şi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numărului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locuri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libere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rămase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după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prima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etapă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înscrieri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.</w:t>
      </w:r>
    </w:p>
    <w:p w14:paraId="5CD09188" w14:textId="77777777" w:rsidR="00D21FB5" w:rsidRPr="00D21FB5" w:rsidRDefault="00D21FB5" w:rsidP="002A66EB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14:paraId="486BE7A5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Etapa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a</w:t>
      </w:r>
      <w:proofErr w:type="gram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II-a din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cadrul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procesului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înscrieri</w:t>
      </w:r>
      <w:proofErr w:type="spellEnd"/>
    </w:p>
    <w:p w14:paraId="6EA28B97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22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iunie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- 09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iulie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2026</w:t>
      </w:r>
    </w:p>
    <w:p w14:paraId="6CD21A36" w14:textId="77777777" w:rsidR="00D21FB5" w:rsidRPr="00D21FB5" w:rsidRDefault="00D21FB5" w:rsidP="002A66EB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proofErr w:type="gram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această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etapă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se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realizează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înscrierea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copiilor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locurile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libere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rămase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urma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derulării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primei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etape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baza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dosarelor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depuse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la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unităţile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învăţământ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către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părinţii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/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reprezentanţii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legali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acestora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trei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opţiuni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exprimate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noile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cereri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înscriere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depuse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proofErr w:type="gramEnd"/>
    </w:p>
    <w:p w14:paraId="53447B48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22-26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iunie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2026 – COLECTAREA CERERILOR DE ÎNSCRIERE</w:t>
      </w:r>
    </w:p>
    <w:p w14:paraId="053A6821" w14:textId="77777777" w:rsidR="00D21FB5" w:rsidRPr="002A66EB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30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iunie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– 04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iulie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2026 – PROCESAREA CERERILOR DE ÎNSCRIERE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către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comisia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înscrieri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din</w:t>
      </w:r>
      <w:proofErr w:type="gram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unitatea</w:t>
      </w:r>
      <w:proofErr w:type="spellEnd"/>
      <w:proofErr w:type="gram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învățământ</w:t>
      </w:r>
      <w:proofErr w:type="spellEnd"/>
    </w:p>
    <w:p w14:paraId="2CB96DD7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60B79F41" w14:textId="77777777" w:rsidR="00D21FB5" w:rsidRPr="00D21FB5" w:rsidRDefault="00D21FB5" w:rsidP="002A66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22-26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iunie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2026 –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procesarea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cererilor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faza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I – </w:t>
      </w: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prima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opţiune</w:t>
      </w:r>
      <w:proofErr w:type="spellEnd"/>
    </w:p>
    <w:p w14:paraId="7F656BC2" w14:textId="77777777" w:rsidR="00D21FB5" w:rsidRPr="00D21FB5" w:rsidRDefault="00D21FB5" w:rsidP="002A66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29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iunie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- 01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iulie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2026 –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procesarea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cererilor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faza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 II-a – </w:t>
      </w: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doua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opţiune</w:t>
      </w:r>
      <w:proofErr w:type="spellEnd"/>
    </w:p>
    <w:p w14:paraId="70E3E7EF" w14:textId="77777777" w:rsidR="00D21FB5" w:rsidRPr="00D21FB5" w:rsidRDefault="00D21FB5" w:rsidP="002A66E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07- 08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iulie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2026 –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procesarea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cererilor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faza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 III-a – </w:t>
      </w: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treia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opţiune</w:t>
      </w:r>
      <w:proofErr w:type="spellEnd"/>
    </w:p>
    <w:p w14:paraId="7245C2C4" w14:textId="77777777" w:rsidR="00D21FB5" w:rsidRPr="002A66EB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</w:pPr>
    </w:p>
    <w:p w14:paraId="794DDEA6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9 </w:t>
      </w:r>
      <w:proofErr w:type="spellStart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>iulie</w:t>
      </w:r>
      <w:proofErr w:type="spellEnd"/>
      <w:r w:rsidRPr="002A66EB">
        <w:rPr>
          <w:rFonts w:ascii="Times New Roman" w:eastAsia="Times New Roman" w:hAnsi="Times New Roman" w:cs="Times New Roman"/>
          <w:b/>
          <w:color w:val="1A171C"/>
          <w:sz w:val="24"/>
          <w:szCs w:val="24"/>
          <w:bdr w:val="none" w:sz="0" w:space="0" w:color="auto" w:frame="1"/>
        </w:rPr>
        <w:t xml:space="preserve"> 2026</w:t>
      </w:r>
    </w:p>
    <w:p w14:paraId="3B63737A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proofErr w:type="gram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Afişarea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rezultatului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şi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numărului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locuri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libere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rămase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după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doua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etapă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înscrieri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.</w:t>
      </w:r>
      <w:proofErr w:type="gramEnd"/>
    </w:p>
    <w:p w14:paraId="7151DBD2" w14:textId="77777777" w:rsidR="00D21FB5" w:rsidRPr="00D21FB5" w:rsidRDefault="00D21FB5" w:rsidP="002A66EB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14:paraId="6C6AF296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Etapa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ajustări</w:t>
      </w:r>
      <w:proofErr w:type="spellEnd"/>
    </w:p>
    <w:p w14:paraId="5DE94287" w14:textId="77777777" w:rsidR="00D21FB5" w:rsidRPr="00D21FB5" w:rsidRDefault="002A66EB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17 – 27</w:t>
      </w:r>
      <w:r w:rsidR="00D21FB5"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august 2026</w:t>
      </w:r>
    </w:p>
    <w:p w14:paraId="58AA0D62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această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etapă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se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realizează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înscrierea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copiilor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care nu au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fost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înscrişi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primele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două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etape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lipsă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locuri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sau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diferite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alte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motive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sau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care nu au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participat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la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primele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două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etape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locurile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rămase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libere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urma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derulării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celei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de-a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doua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etape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înscrierilor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baza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unei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proceduri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specifice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elaborate de ISJ/ISMB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baza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dosarelor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depuse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părinţi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la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inspectoratul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şcolar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. </w:t>
      </w: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La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această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etapă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acces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următoarele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categorii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copii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:</w:t>
      </w:r>
    </w:p>
    <w:p w14:paraId="0ED0485D" w14:textId="77777777" w:rsidR="00D21FB5" w:rsidRPr="00D21FB5" w:rsidRDefault="00D21FB5" w:rsidP="002A66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copiii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care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au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rămas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nerepartizaţi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după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derularea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celor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două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etape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anterioare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cu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prioritate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cei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4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ani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5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ani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;</w:t>
      </w:r>
    </w:p>
    <w:p w14:paraId="6774D081" w14:textId="77777777" w:rsidR="00D21FB5" w:rsidRPr="00D21FB5" w:rsidRDefault="00D21FB5" w:rsidP="002A66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copiii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care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au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solicitat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înscrierea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clasa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pregătitoare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învăţământul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primar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nu au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fost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admişi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urmare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avizului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negativ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al CJRAE/CMBRAE;</w:t>
      </w:r>
    </w:p>
    <w:p w14:paraId="076FD1F6" w14:textId="77777777" w:rsidR="00D21FB5" w:rsidRPr="00D21FB5" w:rsidRDefault="00D21FB5" w:rsidP="002A66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proofErr w:type="gram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copiii</w:t>
      </w:r>
      <w:proofErr w:type="spellEnd"/>
      <w:proofErr w:type="gram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peste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ani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care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solicită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înscrierea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grupa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mică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din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învăţământul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preşcolar</w:t>
      </w:r>
      <w:proofErr w:type="spellEnd"/>
      <w:r w:rsidRPr="00D21FB5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</w:p>
    <w:p w14:paraId="67D68FD3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 </w:t>
      </w:r>
    </w:p>
    <w:p w14:paraId="2D587A1B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28 august 2026</w:t>
      </w:r>
    </w:p>
    <w:p w14:paraId="3651193A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proofErr w:type="spellStart"/>
      <w:proofErr w:type="gram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Afişarea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rezultatului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şi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numărului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locuri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libere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rămase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după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etapa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ajustări</w:t>
      </w:r>
      <w:proofErr w:type="spellEnd"/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.</w:t>
      </w:r>
      <w:proofErr w:type="gramEnd"/>
    </w:p>
    <w:p w14:paraId="6041A17B" w14:textId="77777777" w:rsidR="00D21FB5" w:rsidRPr="00D21FB5" w:rsidRDefault="00D21FB5" w:rsidP="002A6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A66EB">
        <w:rPr>
          <w:rFonts w:ascii="Times New Roman" w:eastAsia="Times New Roman" w:hAnsi="Times New Roman" w:cs="Times New Roman"/>
          <w:color w:val="1A171C"/>
          <w:sz w:val="24"/>
          <w:szCs w:val="24"/>
          <w:bdr w:val="none" w:sz="0" w:space="0" w:color="auto" w:frame="1"/>
        </w:rPr>
        <w:t> </w:t>
      </w:r>
    </w:p>
    <w:p w14:paraId="50DCDC9A" w14:textId="77777777" w:rsidR="002B303A" w:rsidRPr="002A66EB" w:rsidRDefault="002B303A" w:rsidP="002A66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303A" w:rsidRPr="002A66EB" w:rsidSect="00D53C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E5CD2" w14:textId="77777777" w:rsidR="002E6CF6" w:rsidRDefault="002E6CF6" w:rsidP="00D53C45">
      <w:pPr>
        <w:spacing w:after="0" w:line="240" w:lineRule="auto"/>
      </w:pPr>
      <w:r>
        <w:separator/>
      </w:r>
    </w:p>
  </w:endnote>
  <w:endnote w:type="continuationSeparator" w:id="0">
    <w:p w14:paraId="0EADFF77" w14:textId="77777777" w:rsidR="002E6CF6" w:rsidRDefault="002E6CF6" w:rsidP="00D5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C83CD" w14:textId="77777777" w:rsidR="002E6CF6" w:rsidRDefault="002E6CF6" w:rsidP="00D53C45">
      <w:pPr>
        <w:spacing w:after="0" w:line="240" w:lineRule="auto"/>
      </w:pPr>
      <w:r>
        <w:separator/>
      </w:r>
    </w:p>
  </w:footnote>
  <w:footnote w:type="continuationSeparator" w:id="0">
    <w:p w14:paraId="62EB27D6" w14:textId="77777777" w:rsidR="002E6CF6" w:rsidRDefault="002E6CF6" w:rsidP="00D5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74" w:type="dxa"/>
      <w:tblInd w:w="-5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85"/>
      <w:gridCol w:w="5003"/>
      <w:gridCol w:w="1560"/>
      <w:gridCol w:w="2126"/>
    </w:tblGrid>
    <w:tr w:rsidR="002964FA" w:rsidRPr="002964FA" w14:paraId="6A3285B9" w14:textId="77777777" w:rsidTr="00F91439">
      <w:trPr>
        <w:trHeight w:val="1555"/>
      </w:trPr>
      <w:tc>
        <w:tcPr>
          <w:tcW w:w="198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08BBEF96" w14:textId="77777777" w:rsidR="002964FA" w:rsidRPr="002964FA" w:rsidRDefault="002964FA" w:rsidP="002964FA">
          <w:pPr>
            <w:tabs>
              <w:tab w:val="left" w:pos="34"/>
            </w:tabs>
            <w:suppressAutoHyphens/>
            <w:spacing w:after="200" w:line="276" w:lineRule="auto"/>
            <w:ind w:left="433" w:right="-102" w:hanging="433"/>
            <w:jc w:val="center"/>
            <w:rPr>
              <w:rFonts w:ascii="Calibri" w:eastAsia="Times New Roman" w:hAnsi="Calibri" w:cs="Times New Roman"/>
              <w:lang w:val="en-AU"/>
            </w:rPr>
          </w:pPr>
          <w:r w:rsidRPr="002964FA">
            <w:rPr>
              <w:rFonts w:ascii="Calibri" w:eastAsia="Times New Roman" w:hAnsi="Calibri" w:cs="Times New Roman"/>
              <w:noProof/>
              <w:lang w:val="en-GB" w:eastAsia="en-GB"/>
            </w:rPr>
            <w:drawing>
              <wp:inline distT="0" distB="0" distL="0" distR="0" wp14:anchorId="2F410A1C" wp14:editId="6D2DB055">
                <wp:extent cx="895350" cy="895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495" cy="899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3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2CE30F6E" w14:textId="77777777" w:rsidR="002964FA" w:rsidRPr="002964FA" w:rsidRDefault="002964FA" w:rsidP="002964FA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0"/>
              <w:szCs w:val="20"/>
              <w:lang w:val="en-AU"/>
            </w:rPr>
          </w:pPr>
          <w:r w:rsidRPr="002964FA">
            <w:rPr>
              <w:rFonts w:ascii="Times New Roman" w:eastAsia="Calibri" w:hAnsi="Times New Roman" w:cs="Times New Roman"/>
              <w:b/>
              <w:color w:val="000000"/>
              <w:sz w:val="24"/>
              <w:lang w:val="ro-RO"/>
            </w:rPr>
            <w:t>Şcoala Gimnazială „ Ioan Maiorescu”</w:t>
          </w:r>
        </w:p>
        <w:p w14:paraId="1DD3C2CF" w14:textId="77777777" w:rsidR="002964FA" w:rsidRPr="002964FA" w:rsidRDefault="002964FA" w:rsidP="002964FA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0"/>
              <w:szCs w:val="20"/>
              <w:lang w:val="en-AU"/>
            </w:rPr>
          </w:pPr>
          <w:r w:rsidRPr="002964FA">
            <w:rPr>
              <w:rFonts w:ascii="Times New Roman" w:eastAsia="Calibri" w:hAnsi="Times New Roman" w:cs="Times New Roman"/>
              <w:color w:val="000000"/>
              <w:sz w:val="20"/>
              <w:szCs w:val="20"/>
              <w:lang w:val="ro-RO"/>
            </w:rPr>
            <w:t>loc. Bucerdea Grânoasă, jud. Alba, cod 517261,</w:t>
          </w:r>
        </w:p>
        <w:p w14:paraId="5FE53C7D" w14:textId="77777777" w:rsidR="002964FA" w:rsidRPr="002964FA" w:rsidRDefault="002964FA" w:rsidP="002964FA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ro-RO"/>
            </w:rPr>
          </w:pPr>
          <w:r w:rsidRPr="002964FA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AU"/>
            </w:rPr>
            <w:t>Str. Ioan Maiorescu, Nr 130,</w:t>
          </w:r>
          <w:r w:rsidRPr="002964FA"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  <w:t xml:space="preserve"> </w:t>
          </w:r>
          <w:proofErr w:type="spellStart"/>
          <w:r w:rsidRPr="002964FA"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  <w:t>Telefon</w:t>
          </w:r>
          <w:proofErr w:type="spellEnd"/>
          <w:r w:rsidRPr="002964FA">
            <w:rPr>
              <w:rFonts w:ascii="Times New Roman" w:eastAsia="Times New Roman" w:hAnsi="Times New Roman" w:cs="Times New Roman"/>
              <w:sz w:val="20"/>
              <w:szCs w:val="20"/>
              <w:lang w:val="ro-RO"/>
            </w:rPr>
            <w:t>/Fax 0258883221</w:t>
          </w:r>
        </w:p>
        <w:p w14:paraId="784E7793" w14:textId="77777777" w:rsidR="002964FA" w:rsidRPr="002964FA" w:rsidRDefault="002964FA" w:rsidP="002964FA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color w:val="0000FF"/>
              <w:sz w:val="20"/>
              <w:szCs w:val="20"/>
              <w:u w:val="single"/>
              <w:lang w:val="de-DE"/>
            </w:rPr>
          </w:pPr>
          <w:r w:rsidRPr="002964FA">
            <w:rPr>
              <w:rFonts w:ascii="Times New Roman" w:eastAsia="Calibri" w:hAnsi="Times New Roman" w:cs="Times New Roman"/>
              <w:color w:val="000000"/>
              <w:sz w:val="20"/>
              <w:szCs w:val="20"/>
              <w:lang w:val="de-DE"/>
            </w:rPr>
            <w:t xml:space="preserve">e-mail  </w:t>
          </w:r>
          <w:hyperlink r:id="rId2" w:history="1">
            <w:r w:rsidRPr="002964FA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de-DE"/>
              </w:rPr>
              <w:t>sc.bucerdeagr@isjalba.ro</w:t>
            </w:r>
          </w:hyperlink>
        </w:p>
        <w:p w14:paraId="754E3F61" w14:textId="77777777" w:rsidR="002964FA" w:rsidRPr="002964FA" w:rsidRDefault="002964FA" w:rsidP="002964FA">
          <w:pPr>
            <w:suppressAutoHyphens/>
            <w:spacing w:after="0" w:line="240" w:lineRule="auto"/>
            <w:rPr>
              <w:rFonts w:ascii="Times New Roman" w:eastAsia="Calibri" w:hAnsi="Times New Roman" w:cs="Times New Roman"/>
              <w:color w:val="0000FF"/>
              <w:sz w:val="20"/>
              <w:szCs w:val="20"/>
              <w:u w:val="single"/>
              <w:lang w:val="de-DE"/>
            </w:rPr>
          </w:pPr>
        </w:p>
      </w:tc>
      <w:tc>
        <w:tcPr>
          <w:tcW w:w="1560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55E26B8A" w14:textId="77777777" w:rsidR="002964FA" w:rsidRPr="002964FA" w:rsidRDefault="002964FA" w:rsidP="002964FA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</w:pPr>
          <w:r w:rsidRPr="002964FA"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  <w:t xml:space="preserve">     </w:t>
          </w:r>
          <w:r w:rsidRPr="002964FA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CD296C2" wp14:editId="05EE36EB">
                <wp:extent cx="647700" cy="647700"/>
                <wp:effectExtent l="0" t="0" r="0" b="0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6A447E59" w14:textId="77777777" w:rsidR="002964FA" w:rsidRPr="002964FA" w:rsidRDefault="002964FA" w:rsidP="002964FA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 w:rsidRPr="002964FA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MINISTERUL</w:t>
          </w:r>
        </w:p>
        <w:p w14:paraId="60B007C7" w14:textId="77777777" w:rsidR="002964FA" w:rsidRPr="002964FA" w:rsidRDefault="002964FA" w:rsidP="002964FA">
          <w:pPr>
            <w:suppressAutoHyphens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</w:pPr>
          <w:r w:rsidRPr="002964FA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>EDUCA</w:t>
          </w:r>
          <w:r w:rsidRPr="002964FA">
            <w:rPr>
              <w:rFonts w:ascii="Times New Roman" w:eastAsia="Times New Roman" w:hAnsi="Times New Roman" w:cs="Times New Roman"/>
              <w:b/>
              <w:sz w:val="20"/>
              <w:szCs w:val="20"/>
              <w:lang w:val="ro-RO"/>
            </w:rPr>
            <w:t>Ț</w:t>
          </w:r>
          <w:r w:rsidRPr="002964FA">
            <w:rPr>
              <w:rFonts w:ascii="Times New Roman" w:eastAsia="Times New Roman" w:hAnsi="Times New Roman" w:cs="Times New Roman"/>
              <w:b/>
              <w:sz w:val="20"/>
              <w:szCs w:val="20"/>
              <w:lang w:val="en-AU"/>
            </w:rPr>
            <w:t xml:space="preserve">IEI ȘI CERCETĂRII      </w:t>
          </w:r>
        </w:p>
        <w:p w14:paraId="5C274943" w14:textId="77777777" w:rsidR="002964FA" w:rsidRPr="002964FA" w:rsidRDefault="002964FA" w:rsidP="002964FA">
          <w:pPr>
            <w:tabs>
              <w:tab w:val="left" w:pos="-834"/>
            </w:tabs>
            <w:suppressAutoHyphens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AU"/>
            </w:rPr>
          </w:pPr>
        </w:p>
      </w:tc>
    </w:tr>
  </w:tbl>
  <w:p w14:paraId="20B52C74" w14:textId="730EAA03" w:rsidR="00D53C45" w:rsidRDefault="00D53C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789E"/>
    <w:multiLevelType w:val="multilevel"/>
    <w:tmpl w:val="1FD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A466C8"/>
    <w:multiLevelType w:val="multilevel"/>
    <w:tmpl w:val="8E9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ED5B83"/>
    <w:multiLevelType w:val="multilevel"/>
    <w:tmpl w:val="15EE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D0"/>
    <w:rsid w:val="002964FA"/>
    <w:rsid w:val="002A66EB"/>
    <w:rsid w:val="002B303A"/>
    <w:rsid w:val="002E6CF6"/>
    <w:rsid w:val="00600294"/>
    <w:rsid w:val="0076664B"/>
    <w:rsid w:val="0092051E"/>
    <w:rsid w:val="00BB7A8D"/>
    <w:rsid w:val="00C508D0"/>
    <w:rsid w:val="00CD1077"/>
    <w:rsid w:val="00D21FB5"/>
    <w:rsid w:val="00D53C45"/>
    <w:rsid w:val="00D650F3"/>
    <w:rsid w:val="00E32ECE"/>
    <w:rsid w:val="00E3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9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1FB5"/>
    <w:rPr>
      <w:b/>
      <w:bCs/>
    </w:rPr>
  </w:style>
  <w:style w:type="character" w:styleId="Emphasis">
    <w:name w:val="Emphasis"/>
    <w:basedOn w:val="DefaultParagraphFont"/>
    <w:uiPriority w:val="20"/>
    <w:qFormat/>
    <w:rsid w:val="00D21FB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C45"/>
  </w:style>
  <w:style w:type="paragraph" w:styleId="Footer">
    <w:name w:val="footer"/>
    <w:basedOn w:val="Normal"/>
    <w:link w:val="FooterChar"/>
    <w:uiPriority w:val="99"/>
    <w:unhideWhenUsed/>
    <w:rsid w:val="00D5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C45"/>
  </w:style>
  <w:style w:type="paragraph" w:styleId="BalloonText">
    <w:name w:val="Balloon Text"/>
    <w:basedOn w:val="Normal"/>
    <w:link w:val="BalloonTextChar"/>
    <w:uiPriority w:val="99"/>
    <w:semiHidden/>
    <w:unhideWhenUsed/>
    <w:rsid w:val="00E3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1FB5"/>
    <w:rPr>
      <w:b/>
      <w:bCs/>
    </w:rPr>
  </w:style>
  <w:style w:type="character" w:styleId="Emphasis">
    <w:name w:val="Emphasis"/>
    <w:basedOn w:val="DefaultParagraphFont"/>
    <w:uiPriority w:val="20"/>
    <w:qFormat/>
    <w:rsid w:val="00D21FB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C45"/>
  </w:style>
  <w:style w:type="paragraph" w:styleId="Footer">
    <w:name w:val="footer"/>
    <w:basedOn w:val="Normal"/>
    <w:link w:val="FooterChar"/>
    <w:uiPriority w:val="99"/>
    <w:unhideWhenUsed/>
    <w:rsid w:val="00D5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C45"/>
  </w:style>
  <w:style w:type="paragraph" w:styleId="BalloonText">
    <w:name w:val="Balloon Text"/>
    <w:basedOn w:val="Normal"/>
    <w:link w:val="BalloonTextChar"/>
    <w:uiPriority w:val="99"/>
    <w:semiHidden/>
    <w:unhideWhenUsed/>
    <w:rsid w:val="00E3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c.bucerdeagr@isjalba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Windows User</cp:lastModifiedBy>
  <cp:revision>3</cp:revision>
  <dcterms:created xsi:type="dcterms:W3CDTF">2026-05-14T09:27:00Z</dcterms:created>
  <dcterms:modified xsi:type="dcterms:W3CDTF">2026-05-14T09:28:00Z</dcterms:modified>
</cp:coreProperties>
</file>